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lang w:eastAsia="zh-CN"/>
        </w:rPr>
        <w:t>设计单位：</w:t>
      </w:r>
      <w:r>
        <w:rPr>
          <w:rFonts w:hint="eastAsia" w:ascii="仿宋_GB2312" w:hAnsi="仿宋_GB2312" w:eastAsia="仿宋_GB2312" w:cs="仿宋_GB2312"/>
          <w:color w:val="000000"/>
          <w:spacing w:val="-2"/>
          <w:sz w:val="32"/>
          <w:szCs w:val="32"/>
        </w:rPr>
        <w:t>新疆昌吉方汇水电设计有限公司</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4" w:firstLineChars="200"/>
        <w:rPr>
          <w:rFonts w:hint="eastAsia" w:ascii="Times" w:hAnsi="Times"/>
          <w:color w:val="000000"/>
          <w:spacing w:val="-2"/>
          <w:sz w:val="28"/>
          <w:szCs w:val="28"/>
        </w:rPr>
      </w:pPr>
      <w:r>
        <w:rPr>
          <w:rFonts w:hint="eastAsia" w:ascii="仿宋" w:hAnsi="仿宋" w:eastAsia="仿宋"/>
          <w:b/>
          <w:bCs/>
          <w:spacing w:val="-4"/>
          <w:sz w:val="32"/>
          <w:szCs w:val="32"/>
        </w:rPr>
        <w:t>1、项目预期目标及阶段性目标</w:t>
      </w:r>
    </w:p>
    <w:p>
      <w:pPr>
        <w:topLinePunct/>
        <w:snapToGrid w:val="0"/>
        <w:spacing w:line="360" w:lineRule="auto"/>
        <w:ind w:firstLine="632"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pacing w:val="-2"/>
          <w:sz w:val="32"/>
          <w:szCs w:val="32"/>
        </w:rPr>
        <w:t>根据本次水资源规划的总体目</w:t>
      </w:r>
      <w:bookmarkStart w:id="0" w:name="_GoBack"/>
      <w:bookmarkEnd w:id="0"/>
      <w:r>
        <w:rPr>
          <w:rFonts w:hint="eastAsia" w:ascii="仿宋_GB2312" w:hAnsi="仿宋_GB2312" w:eastAsia="仿宋_GB2312" w:cs="仿宋_GB2312"/>
          <w:color w:val="000000"/>
          <w:spacing w:val="-2"/>
          <w:sz w:val="32"/>
          <w:szCs w:val="32"/>
        </w:rPr>
        <w:t>标与要求，水资源综合规划的基本任务是：（1）系统分析与整理英吉沙县有关的水资源开发利用、节约用水、水资源保护和水生态建设现状及存在的问题；（2）结合总体发展目标及区域需水预测成果，提出以乡镇及四级水资源为单元的需水预测成果；（3）结合水资源区域供水分析与预测，细化水源与用水户之间关系，提出供水水源规划方案；（4）结合区域水资源保护规划，提出水资源保护规划方案，包括水源地保护、污水处理再回用以及水</w:t>
      </w:r>
      <w:r>
        <w:rPr>
          <w:rFonts w:hint="eastAsia" w:ascii="仿宋_GB2312" w:hAnsi="仿宋_GB2312" w:eastAsia="仿宋_GB2312" w:cs="仿宋_GB2312"/>
          <w:color w:val="000000"/>
          <w:sz w:val="32"/>
          <w:szCs w:val="32"/>
        </w:rPr>
        <w:t>生态保护与修复等相关规划方案；（5）在上述工作的基础上，结合区域水资源综合规划，提出水资源规划的总体布局与实施方案；（6）结合特点和可能出现的水资源突发事件，提出重点领域和地区水资源保障措施。</w:t>
      </w:r>
    </w:p>
    <w:p>
      <w:pPr>
        <w:adjustRightInd w:val="0"/>
        <w:snapToGrid w:val="0"/>
        <w:spacing w:line="560" w:lineRule="exact"/>
        <w:ind w:firstLine="624" w:firstLineChars="200"/>
        <w:rPr>
          <w:rFonts w:hint="eastAsia"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本项目性质为新增项目。</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水资源综合利用规划报告1个；地表水分析报告1个；地下水水资源评价报告1个；</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水资源规划费项目预算安排总额为</w:t>
      </w:r>
      <w:r>
        <w:rPr>
          <w:rFonts w:hint="eastAsia" w:ascii="仿宋_GB2312" w:hAnsi="仿宋_GB2312" w:eastAsia="仿宋_GB2312" w:cs="仿宋_GB2312"/>
          <w:color w:val="000000"/>
          <w:spacing w:val="-2"/>
          <w:sz w:val="32"/>
          <w:szCs w:val="32"/>
          <w:lang w:val="en-US" w:eastAsia="zh-CN"/>
        </w:rPr>
        <w:t>63.5</w:t>
      </w:r>
      <w:r>
        <w:rPr>
          <w:rFonts w:hint="eastAsia" w:ascii="仿宋_GB2312" w:hAnsi="仿宋_GB2312" w:eastAsia="仿宋_GB2312" w:cs="仿宋_GB2312"/>
          <w:color w:val="000000"/>
          <w:spacing w:val="-2"/>
          <w:sz w:val="32"/>
          <w:szCs w:val="32"/>
        </w:rPr>
        <w:t>万元，其中财政资金</w:t>
      </w:r>
      <w:r>
        <w:rPr>
          <w:rFonts w:hint="eastAsia" w:ascii="仿宋_GB2312" w:hAnsi="仿宋_GB2312" w:eastAsia="仿宋_GB2312" w:cs="仿宋_GB2312"/>
          <w:color w:val="000000"/>
          <w:spacing w:val="-2"/>
          <w:sz w:val="32"/>
          <w:szCs w:val="32"/>
          <w:lang w:val="en-US" w:eastAsia="zh-CN"/>
        </w:rPr>
        <w:t>63.5</w:t>
      </w:r>
      <w:r>
        <w:rPr>
          <w:rFonts w:hint="eastAsia" w:ascii="仿宋_GB2312" w:hAnsi="仿宋_GB2312" w:eastAsia="仿宋_GB2312" w:cs="仿宋_GB2312"/>
          <w:color w:val="000000"/>
          <w:spacing w:val="-2"/>
          <w:sz w:val="32"/>
          <w:szCs w:val="32"/>
        </w:rPr>
        <w:t>万元，自筹资金</w:t>
      </w:r>
      <w:r>
        <w:rPr>
          <w:rFonts w:hint="eastAsia" w:ascii="仿宋_GB2312" w:hAnsi="仿宋_GB2312" w:eastAsia="仿宋_GB2312" w:cs="仿宋_GB2312"/>
          <w:color w:val="000000"/>
          <w:spacing w:val="-2"/>
          <w:sz w:val="32"/>
          <w:szCs w:val="32"/>
          <w:lang w:val="en-US" w:eastAsia="zh-CN"/>
        </w:rPr>
        <w:t>0</w:t>
      </w:r>
      <w:r>
        <w:rPr>
          <w:rFonts w:hint="eastAsia" w:ascii="仿宋_GB2312" w:hAnsi="仿宋_GB2312" w:eastAsia="仿宋_GB2312" w:cs="仿宋_GB2312"/>
          <w:color w:val="000000"/>
          <w:spacing w:val="-2"/>
          <w:sz w:val="32"/>
          <w:szCs w:val="32"/>
        </w:rPr>
        <w:t>万元，2018年实际收到预算资金</w:t>
      </w:r>
      <w:r>
        <w:rPr>
          <w:rFonts w:hint="eastAsia" w:ascii="仿宋_GB2312" w:hAnsi="仿宋_GB2312" w:eastAsia="仿宋_GB2312" w:cs="仿宋_GB2312"/>
          <w:color w:val="000000"/>
          <w:spacing w:val="-2"/>
          <w:sz w:val="32"/>
          <w:szCs w:val="32"/>
          <w:lang w:val="en-US" w:eastAsia="zh-CN"/>
        </w:rPr>
        <w:t>63.5</w:t>
      </w:r>
      <w:r>
        <w:rPr>
          <w:rFonts w:hint="eastAsia" w:ascii="仿宋_GB2312" w:hAnsi="仿宋_GB2312" w:eastAsia="仿宋_GB2312" w:cs="仿宋_GB2312"/>
          <w:color w:val="000000"/>
          <w:spacing w:val="-2"/>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主要分析项目资金使用明细情况，对各项支出进行明细说明。</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本项目实际支付资金</w:t>
      </w:r>
      <w:r>
        <w:rPr>
          <w:rFonts w:hint="eastAsia" w:ascii="仿宋_GB2312" w:hAnsi="仿宋_GB2312" w:eastAsia="仿宋_GB2312" w:cs="仿宋_GB2312"/>
          <w:color w:val="000000"/>
          <w:spacing w:val="-2"/>
          <w:sz w:val="32"/>
          <w:szCs w:val="32"/>
          <w:lang w:val="en-US" w:eastAsia="zh-CN"/>
        </w:rPr>
        <w:t>63.5</w:t>
      </w:r>
      <w:r>
        <w:rPr>
          <w:rFonts w:hint="eastAsia" w:ascii="仿宋_GB2312" w:hAnsi="仿宋_GB2312" w:eastAsia="仿宋_GB2312" w:cs="仿宋_GB2312"/>
          <w:color w:val="000000"/>
          <w:spacing w:val="-2"/>
          <w:sz w:val="32"/>
          <w:szCs w:val="32"/>
        </w:rPr>
        <w:t>万元，预算执行率</w:t>
      </w:r>
      <w:r>
        <w:rPr>
          <w:rFonts w:hint="eastAsia" w:ascii="仿宋_GB2312" w:hAnsi="仿宋_GB2312" w:eastAsia="仿宋_GB2312" w:cs="仿宋_GB2312"/>
          <w:color w:val="000000"/>
          <w:spacing w:val="-2"/>
          <w:sz w:val="32"/>
          <w:szCs w:val="32"/>
          <w:lang w:val="en-US" w:eastAsia="zh-CN"/>
        </w:rPr>
        <w:t>100</w:t>
      </w:r>
      <w:r>
        <w:rPr>
          <w:rFonts w:hint="eastAsia" w:ascii="仿宋_GB2312" w:hAnsi="仿宋_GB2312" w:eastAsia="仿宋_GB2312" w:cs="仿宋_GB2312"/>
          <w:color w:val="000000"/>
          <w:spacing w:val="-2"/>
          <w:sz w:val="32"/>
          <w:szCs w:val="32"/>
        </w:rPr>
        <w:t>%。项目资金主要用于支付</w:t>
      </w:r>
      <w:r>
        <w:rPr>
          <w:rFonts w:hint="eastAsia" w:ascii="仿宋_GB2312" w:hAnsi="仿宋_GB2312" w:eastAsia="仿宋_GB2312" w:cs="仿宋_GB2312"/>
          <w:color w:val="000000"/>
          <w:spacing w:val="-2"/>
          <w:sz w:val="32"/>
          <w:szCs w:val="32"/>
          <w:lang w:eastAsia="zh-CN"/>
        </w:rPr>
        <w:t>水资源规划设计</w:t>
      </w:r>
      <w:r>
        <w:rPr>
          <w:rFonts w:hint="eastAsia" w:ascii="仿宋_GB2312" w:hAnsi="仿宋_GB2312" w:eastAsia="仿宋_GB2312" w:cs="仿宋_GB2312"/>
          <w:color w:val="000000"/>
          <w:spacing w:val="-2"/>
          <w:sz w:val="32"/>
          <w:szCs w:val="32"/>
        </w:rPr>
        <w:t>费用</w:t>
      </w:r>
      <w:r>
        <w:rPr>
          <w:rFonts w:hint="eastAsia" w:ascii="仿宋_GB2312" w:hAnsi="仿宋_GB2312" w:eastAsia="仿宋_GB2312" w:cs="仿宋_GB2312"/>
          <w:color w:val="000000"/>
          <w:spacing w:val="-2"/>
          <w:sz w:val="32"/>
          <w:szCs w:val="32"/>
          <w:lang w:val="en-US" w:eastAsia="zh-CN"/>
        </w:rPr>
        <w:t>63.5</w:t>
      </w:r>
      <w:r>
        <w:rPr>
          <w:rFonts w:hint="eastAsia" w:ascii="仿宋_GB2312" w:hAnsi="仿宋_GB2312" w:eastAsia="仿宋_GB2312" w:cs="仿宋_GB2312"/>
          <w:color w:val="000000"/>
          <w:spacing w:val="-2"/>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lang w:eastAsia="zh-CN"/>
        </w:rPr>
        <w:t>该项目按照规定于</w:t>
      </w:r>
      <w:r>
        <w:rPr>
          <w:rFonts w:hint="eastAsia" w:ascii="仿宋_GB2312" w:hAnsi="仿宋_GB2312" w:eastAsia="仿宋_GB2312" w:cs="仿宋_GB2312"/>
          <w:color w:val="000000"/>
          <w:spacing w:val="-2"/>
          <w:sz w:val="32"/>
          <w:szCs w:val="32"/>
          <w:lang w:val="en-US" w:eastAsia="zh-CN"/>
        </w:rPr>
        <w:t>2018年6月3日下达中标通知书，</w:t>
      </w:r>
      <w:r>
        <w:rPr>
          <w:rFonts w:hint="eastAsia" w:ascii="仿宋_GB2312" w:hAnsi="仿宋_GB2312" w:eastAsia="仿宋_GB2312" w:cs="仿宋_GB2312"/>
          <w:color w:val="000000"/>
          <w:spacing w:val="-2"/>
          <w:sz w:val="32"/>
          <w:szCs w:val="32"/>
        </w:rPr>
        <w:t>实施过程均按照本单位制定的管理制度执行。本项目不存在调整情况。本项目不存在检查验收程序。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本项目共设置一级指标</w:t>
      </w:r>
      <w:r>
        <w:rPr>
          <w:rFonts w:hint="eastAsia" w:ascii="仿宋_GB2312" w:hAnsi="仿宋_GB2312" w:eastAsia="仿宋_GB2312" w:cs="仿宋_GB2312"/>
          <w:color w:val="000000"/>
          <w:spacing w:val="-2"/>
          <w:sz w:val="32"/>
          <w:szCs w:val="32"/>
          <w:lang w:val="en-US" w:eastAsia="zh-CN"/>
        </w:rPr>
        <w:t>3</w:t>
      </w:r>
      <w:r>
        <w:rPr>
          <w:rFonts w:hint="eastAsia" w:ascii="仿宋_GB2312" w:hAnsi="仿宋_GB2312" w:eastAsia="仿宋_GB2312" w:cs="仿宋_GB2312"/>
          <w:color w:val="000000"/>
          <w:spacing w:val="-2"/>
          <w:sz w:val="32"/>
          <w:szCs w:val="32"/>
          <w:lang w:eastAsia="zh-CN"/>
        </w:rPr>
        <w:t>个，二级指标</w:t>
      </w:r>
      <w:r>
        <w:rPr>
          <w:rFonts w:hint="eastAsia" w:ascii="仿宋_GB2312" w:hAnsi="仿宋_GB2312" w:eastAsia="仿宋_GB2312" w:cs="仿宋_GB2312"/>
          <w:color w:val="000000"/>
          <w:spacing w:val="-2"/>
          <w:sz w:val="32"/>
          <w:szCs w:val="32"/>
          <w:lang w:val="en-US" w:eastAsia="zh-CN"/>
        </w:rPr>
        <w:t>9</w:t>
      </w:r>
      <w:r>
        <w:rPr>
          <w:rFonts w:hint="eastAsia" w:ascii="仿宋_GB2312" w:hAnsi="仿宋_GB2312" w:eastAsia="仿宋_GB2312" w:cs="仿宋_GB2312"/>
          <w:color w:val="000000"/>
          <w:spacing w:val="-2"/>
          <w:sz w:val="32"/>
          <w:szCs w:val="32"/>
          <w:lang w:eastAsia="zh-CN"/>
        </w:rPr>
        <w:t>个，三级指标</w:t>
      </w:r>
      <w:r>
        <w:rPr>
          <w:rFonts w:hint="eastAsia" w:ascii="仿宋_GB2312" w:hAnsi="仿宋_GB2312" w:eastAsia="仿宋_GB2312" w:cs="仿宋_GB2312"/>
          <w:color w:val="000000"/>
          <w:spacing w:val="-2"/>
          <w:sz w:val="32"/>
          <w:szCs w:val="32"/>
          <w:lang w:val="en-US" w:eastAsia="zh-CN"/>
        </w:rPr>
        <w:t>13</w:t>
      </w:r>
      <w:r>
        <w:rPr>
          <w:rFonts w:hint="eastAsia" w:ascii="仿宋_GB2312" w:hAnsi="仿宋_GB2312" w:eastAsia="仿宋_GB2312" w:cs="仿宋_GB2312"/>
          <w:color w:val="000000"/>
          <w:spacing w:val="-2"/>
          <w:sz w:val="32"/>
          <w:szCs w:val="32"/>
          <w:lang w:eastAsia="zh-CN"/>
        </w:rPr>
        <w:t>个，其中已完成三级指标</w:t>
      </w:r>
      <w:r>
        <w:rPr>
          <w:rFonts w:hint="eastAsia" w:ascii="仿宋_GB2312" w:hAnsi="仿宋_GB2312" w:eastAsia="仿宋_GB2312" w:cs="仿宋_GB2312"/>
          <w:color w:val="000000"/>
          <w:spacing w:val="-2"/>
          <w:sz w:val="32"/>
          <w:szCs w:val="32"/>
          <w:lang w:val="en-US" w:eastAsia="zh-CN"/>
        </w:rPr>
        <w:t>13</w:t>
      </w:r>
      <w:r>
        <w:rPr>
          <w:rFonts w:hint="eastAsia" w:ascii="仿宋_GB2312" w:hAnsi="仿宋_GB2312" w:eastAsia="仿宋_GB2312" w:cs="仿宋_GB2312"/>
          <w:color w:val="000000"/>
          <w:spacing w:val="-2"/>
          <w:sz w:val="32"/>
          <w:szCs w:val="32"/>
          <w:lang w:eastAsia="zh-CN"/>
        </w:rPr>
        <w:t>个，指标完成率为</w:t>
      </w:r>
      <w:r>
        <w:rPr>
          <w:rFonts w:hint="eastAsia" w:ascii="仿宋_GB2312" w:hAnsi="仿宋_GB2312" w:eastAsia="仿宋_GB2312" w:cs="仿宋_GB2312"/>
          <w:color w:val="000000"/>
          <w:spacing w:val="-2"/>
          <w:sz w:val="32"/>
          <w:szCs w:val="32"/>
          <w:lang w:val="en-US" w:eastAsia="zh-CN"/>
        </w:rPr>
        <w:t>98</w:t>
      </w:r>
      <w:r>
        <w:rPr>
          <w:rFonts w:hint="eastAsia" w:ascii="仿宋_GB2312" w:hAnsi="仿宋_GB2312" w:eastAsia="仿宋_GB2312" w:cs="仿宋_GB2312"/>
          <w:color w:val="000000"/>
          <w:spacing w:val="-2"/>
          <w:sz w:val="32"/>
          <w:szCs w:val="32"/>
          <w:lang w:eastAsia="zh-CN"/>
        </w:rPr>
        <w:t>%。</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经济性：主要根据项目实际情况和项目经济效益设置的指标进行综合分析，主要包括项目成本控制情况和项目成本节约情况。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效率性：主要通过对比分析项目的实施进度和完成质量。</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效益性：主要分析项目实施后对于经济和社会的影响。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不存在未完成情况:“2018年本项目绩效目标全部达成，不存在未完成原因分析。”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32" w:firstLineChars="200"/>
        <w:outlineLvl w:val="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水资源综合利用规划报告由档案室存档；</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numId w:val="0"/>
        </w:numPr>
        <w:adjustRightInd w:val="0"/>
        <w:snapToGrid w:val="0"/>
        <w:spacing w:line="560" w:lineRule="exact"/>
        <w:ind w:firstLine="936" w:firstLineChars="3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专款专用；</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numId w:val="0"/>
        </w:numPr>
        <w:adjustRightInd w:val="0"/>
        <w:snapToGrid w:val="0"/>
        <w:spacing w:line="560" w:lineRule="exact"/>
        <w:ind w:leftChars="200" w:firstLine="312" w:firstLineChars="1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numId w:val="0"/>
        </w:numPr>
        <w:adjustRightInd w:val="0"/>
        <w:snapToGrid w:val="0"/>
        <w:spacing w:line="560" w:lineRule="exact"/>
        <w:ind w:leftChars="200" w:firstLine="312" w:firstLineChars="1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本次评价通过文件研读、实地调研、数据分析等方式，全面了解水资源综合利用规划报告项目资金的使用效率和效果，项目管理过程是否规范，是否完成了预期绩效目标等。同时，通过开展自我评价来总结经验和教训，为喀什区水资源综合利用规划报告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rPr>
          <w:rFonts w:hint="eastAsia" w:ascii="仿宋" w:hAnsi="仿宋" w:eastAsia="仿宋"/>
          <w:sz w:val="32"/>
          <w:szCs w:val="32"/>
        </w:rPr>
      </w:pPr>
    </w:p>
    <w:p>
      <w:pPr>
        <w:adjustRightInd w:val="0"/>
        <w:snapToGrid w:val="0"/>
        <w:spacing w:line="560" w:lineRule="exact"/>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 w:name="仿宋">
    <w:altName w:val="微软雅黑"/>
    <w:panose1 w:val="00000000000000000000"/>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4CBC7"/>
    <w:multiLevelType w:val="singleLevel"/>
    <w:tmpl w:val="ABF4CBC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25A1689"/>
    <w:rsid w:val="08A35187"/>
    <w:rsid w:val="372D7B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Normal Indent"/>
    <w:basedOn w:val="1"/>
    <w:uiPriority w:val="0"/>
    <w:pPr>
      <w:ind w:firstLine="420" w:firstLineChars="200"/>
    </w:pPr>
    <w:rPr>
      <w:rFonts w:ascii="Times New Roman" w:hAnsi="Times New Roman" w:eastAsia="宋体" w:cs="Times New Roman"/>
      <w:sz w:val="28"/>
      <w:szCs w:val="24"/>
    </w:rPr>
  </w:style>
  <w:style w:type="paragraph" w:styleId="12">
    <w:name w:val="Document Map"/>
    <w:basedOn w:val="1"/>
    <w:link w:val="47"/>
    <w:semiHidden/>
    <w:unhideWhenUsed/>
    <w:qFormat/>
    <w:uiPriority w:val="99"/>
    <w:rPr>
      <w:rFonts w:ascii="宋体"/>
      <w:sz w:val="18"/>
      <w:szCs w:val="18"/>
    </w:rPr>
  </w:style>
  <w:style w:type="paragraph" w:styleId="13">
    <w:name w:val="Balloon Text"/>
    <w:basedOn w:val="1"/>
    <w:link w:val="48"/>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uiPriority w:val="9"/>
    <w:rPr>
      <w:rFonts w:asciiTheme="majorHAnsi" w:hAnsiTheme="majorHAnsi" w:eastAsiaTheme="majorEastAsia"/>
      <w:b/>
      <w:bCs/>
      <w:kern w:val="32"/>
      <w:sz w:val="32"/>
      <w:szCs w:val="32"/>
    </w:rPr>
  </w:style>
  <w:style w:type="character" w:customStyle="1" w:styleId="23">
    <w:name w:val="标题 2 Char"/>
    <w:basedOn w:val="18"/>
    <w:link w:val="3"/>
    <w:semiHidden/>
    <w:uiPriority w:val="9"/>
    <w:rPr>
      <w:rFonts w:asciiTheme="majorHAnsi" w:hAnsiTheme="majorHAnsi" w:eastAsiaTheme="majorEastAsia"/>
      <w:b/>
      <w:bCs/>
      <w:i/>
      <w:iCs/>
      <w:sz w:val="28"/>
      <w:szCs w:val="28"/>
    </w:rPr>
  </w:style>
  <w:style w:type="character" w:customStyle="1" w:styleId="24">
    <w:name w:val="标题 3 Char"/>
    <w:basedOn w:val="18"/>
    <w:link w:val="4"/>
    <w:semiHidden/>
    <w:uiPriority w:val="9"/>
    <w:rPr>
      <w:rFonts w:asciiTheme="majorHAnsi" w:hAnsiTheme="majorHAnsi" w:eastAsiaTheme="majorEastAsia"/>
      <w:b/>
      <w:bCs/>
      <w:sz w:val="26"/>
      <w:szCs w:val="26"/>
    </w:rPr>
  </w:style>
  <w:style w:type="character" w:customStyle="1" w:styleId="25">
    <w:name w:val="标题 4 Char"/>
    <w:basedOn w:val="18"/>
    <w:link w:val="5"/>
    <w:semiHidden/>
    <w:uiPriority w:val="9"/>
    <w:rPr>
      <w:b/>
      <w:bCs/>
      <w:sz w:val="28"/>
      <w:szCs w:val="28"/>
    </w:rPr>
  </w:style>
  <w:style w:type="character" w:customStyle="1" w:styleId="26">
    <w:name w:val="标题 5 Char"/>
    <w:basedOn w:val="18"/>
    <w:link w:val="6"/>
    <w:semiHidden/>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8"/>
    <w:link w:val="15"/>
    <w:qFormat/>
    <w:uiPriority w:val="99"/>
    <w:rPr>
      <w:rFonts w:ascii="Calibri" w:hAnsi="Calibri" w:eastAsia="宋体"/>
      <w:kern w:val="2"/>
      <w:sz w:val="18"/>
      <w:szCs w:val="18"/>
    </w:rPr>
  </w:style>
  <w:style w:type="character" w:customStyle="1" w:styleId="46">
    <w:name w:val="页脚 Char"/>
    <w:basedOn w:val="18"/>
    <w:link w:val="14"/>
    <w:qFormat/>
    <w:uiPriority w:val="99"/>
    <w:rPr>
      <w:rFonts w:ascii="Calibri" w:hAnsi="Calibri" w:eastAsia="宋体"/>
      <w:kern w:val="2"/>
      <w:sz w:val="18"/>
      <w:szCs w:val="18"/>
    </w:rPr>
  </w:style>
  <w:style w:type="character" w:customStyle="1" w:styleId="47">
    <w:name w:val="文档结构图 Char"/>
    <w:basedOn w:val="18"/>
    <w:link w:val="12"/>
    <w:semiHidden/>
    <w:uiPriority w:val="99"/>
    <w:rPr>
      <w:rFonts w:ascii="宋体" w:hAnsi="Times New Roman" w:eastAsia="宋体"/>
      <w:kern w:val="2"/>
      <w:sz w:val="18"/>
      <w:szCs w:val="18"/>
    </w:rPr>
  </w:style>
  <w:style w:type="character" w:customStyle="1" w:styleId="48">
    <w:name w:val="批注框文本 Char"/>
    <w:basedOn w:val="18"/>
    <w:link w:val="1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3</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2019-01-29T10:42:55Z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